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B" w:rsidRDefault="00997CA1" w:rsidP="00A76002">
      <w:pPr>
        <w:spacing w:after="0" w:line="240" w:lineRule="auto"/>
        <w:jc w:val="center"/>
        <w:rPr>
          <w:rFonts w:ascii="Merienda One" w:hAnsi="Merienda One"/>
          <w:b/>
          <w:sz w:val="28"/>
          <w:szCs w:val="28"/>
        </w:rPr>
      </w:pPr>
      <w:r>
        <w:rPr>
          <w:rFonts w:ascii="Merienda One" w:hAnsi="Merienda One"/>
          <w:b/>
          <w:sz w:val="28"/>
          <w:szCs w:val="28"/>
        </w:rPr>
        <w:t xml:space="preserve">FY </w:t>
      </w:r>
      <w:r w:rsidR="00854FAF" w:rsidRPr="002C71E7">
        <w:rPr>
          <w:rFonts w:ascii="Merienda One" w:hAnsi="Merienda One"/>
          <w:b/>
          <w:sz w:val="28"/>
          <w:szCs w:val="28"/>
        </w:rPr>
        <w:t>2021</w:t>
      </w:r>
      <w:r>
        <w:rPr>
          <w:rFonts w:ascii="Merienda One" w:hAnsi="Merienda One"/>
          <w:b/>
          <w:sz w:val="28"/>
          <w:szCs w:val="28"/>
        </w:rPr>
        <w:t xml:space="preserve"> – FY </w:t>
      </w:r>
      <w:r w:rsidR="00854FAF" w:rsidRPr="002C71E7">
        <w:rPr>
          <w:rFonts w:ascii="Merienda One" w:hAnsi="Merienda One"/>
          <w:b/>
          <w:sz w:val="28"/>
          <w:szCs w:val="28"/>
        </w:rPr>
        <w:t xml:space="preserve">2025 </w:t>
      </w:r>
      <w:r w:rsidR="00D51BF4" w:rsidRPr="002C71E7">
        <w:rPr>
          <w:rFonts w:ascii="Merienda One" w:hAnsi="Merienda One"/>
          <w:b/>
          <w:sz w:val="28"/>
          <w:szCs w:val="28"/>
        </w:rPr>
        <w:t xml:space="preserve">Consolidated Plan </w:t>
      </w:r>
      <w:r w:rsidR="00DB7FEB">
        <w:rPr>
          <w:rFonts w:ascii="Merienda One" w:hAnsi="Merienda One"/>
          <w:b/>
          <w:sz w:val="28"/>
          <w:szCs w:val="28"/>
        </w:rPr>
        <w:t>&amp;</w:t>
      </w:r>
      <w:r w:rsidR="00854FAF" w:rsidRPr="002C71E7">
        <w:rPr>
          <w:rFonts w:ascii="Merienda One" w:hAnsi="Merienda One"/>
          <w:b/>
          <w:sz w:val="28"/>
          <w:szCs w:val="28"/>
        </w:rPr>
        <w:t xml:space="preserve"> FY 2021 Budget </w:t>
      </w:r>
      <w:r w:rsidR="00D51BF4" w:rsidRPr="002C71E7">
        <w:rPr>
          <w:rFonts w:ascii="Merienda One" w:hAnsi="Merienda One"/>
          <w:b/>
          <w:sz w:val="28"/>
          <w:szCs w:val="28"/>
        </w:rPr>
        <w:t>Timeline</w:t>
      </w:r>
    </w:p>
    <w:p w:rsidR="00A76002" w:rsidRPr="00A76002" w:rsidRDefault="00A76002" w:rsidP="00A76002">
      <w:pPr>
        <w:spacing w:after="0" w:line="240" w:lineRule="auto"/>
        <w:jc w:val="center"/>
        <w:rPr>
          <w:rFonts w:ascii="Merienda One" w:hAnsi="Merienda One"/>
          <w:b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70"/>
        <w:gridCol w:w="6660"/>
      </w:tblGrid>
      <w:tr w:rsidR="008D3FD1" w:rsidTr="00A76002">
        <w:trPr>
          <w:trHeight w:val="494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Spring/Summer 2019 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gathering, GIS/map gathering</w:t>
            </w:r>
          </w:p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Consultant s</w:t>
            </w:r>
            <w:r w:rsidRPr="00D67A51">
              <w:rPr>
                <w:rFonts w:asciiTheme="majorHAnsi" w:hAnsiTheme="majorHAnsi"/>
              </w:rPr>
              <w:t>tudy on housing needs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3FD1" w:rsidTr="00A76002">
        <w:trPr>
          <w:trHeight w:val="260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Spring/Summer 2019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 xml:space="preserve">Focus Groups &amp; Stakeholder Outreach </w:t>
            </w:r>
            <w:r w:rsidR="00A3097A">
              <w:rPr>
                <w:rFonts w:asciiTheme="majorHAnsi" w:hAnsiTheme="majorHAnsi"/>
              </w:rPr>
              <w:t xml:space="preserve"> (see attached)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3FD1" w:rsidTr="00A76002">
        <w:trPr>
          <w:trHeight w:val="539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September 1, 2019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>Noti</w:t>
            </w:r>
            <w:r>
              <w:rPr>
                <w:rFonts w:asciiTheme="majorHAnsi" w:hAnsiTheme="majorHAnsi"/>
              </w:rPr>
              <w:t>ce of Consolidated Plan Process</w:t>
            </w:r>
            <w:r w:rsidR="001C0C2A">
              <w:rPr>
                <w:rFonts w:asciiTheme="majorHAnsi" w:hAnsiTheme="majorHAnsi"/>
              </w:rPr>
              <w:t xml:space="preserve"> &amp;</w:t>
            </w:r>
          </w:p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 xml:space="preserve">Budget Process is </w:t>
            </w:r>
            <w:r>
              <w:rPr>
                <w:rFonts w:asciiTheme="majorHAnsi" w:hAnsiTheme="majorHAnsi"/>
              </w:rPr>
              <w:t>e</w:t>
            </w:r>
            <w:r w:rsidRPr="00D67A51">
              <w:rPr>
                <w:rFonts w:asciiTheme="majorHAnsi" w:hAnsiTheme="majorHAnsi"/>
              </w:rPr>
              <w:t>mailed/posted/printed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3FD1" w:rsidTr="00A76002">
        <w:trPr>
          <w:trHeight w:val="1259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October 24, 2019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 w:rsidP="00D5406D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Pr="00D67A5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>1</w:t>
            </w:r>
            <w:r w:rsidRPr="00D67A51">
              <w:rPr>
                <w:rFonts w:asciiTheme="majorHAnsi" w:hAnsiTheme="majorHAnsi"/>
                <w:vertAlign w:val="superscript"/>
              </w:rPr>
              <w:t>st</w:t>
            </w:r>
            <w:r w:rsidRPr="00D67A51">
              <w:rPr>
                <w:rFonts w:asciiTheme="majorHAnsi" w:hAnsiTheme="majorHAnsi"/>
              </w:rPr>
              <w:t xml:space="preserve"> Public </w:t>
            </w:r>
            <w:r>
              <w:rPr>
                <w:rFonts w:asciiTheme="majorHAnsi" w:hAnsiTheme="majorHAnsi"/>
              </w:rPr>
              <w:t xml:space="preserve">Hearing on Consolidated Plan/FY 2021 Budget </w:t>
            </w:r>
            <w:r w:rsidRPr="00D67A51">
              <w:rPr>
                <w:rFonts w:asciiTheme="majorHAnsi" w:hAnsiTheme="majorHAnsi"/>
              </w:rPr>
              <w:t>Process</w:t>
            </w:r>
            <w:r w:rsidR="001C0C2A">
              <w:rPr>
                <w:rFonts w:asciiTheme="majorHAnsi" w:hAnsiTheme="majorHAnsi"/>
              </w:rPr>
              <w:t xml:space="preserve"> at ACDS</w:t>
            </w:r>
          </w:p>
          <w:p w:rsidR="008D3FD1" w:rsidRPr="002C71E7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2C71E7">
              <w:rPr>
                <w:rFonts w:asciiTheme="majorHAnsi" w:hAnsiTheme="majorHAnsi"/>
              </w:rPr>
              <w:t xml:space="preserve">6:30 p.m. – 8:30 p.m. 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i/>
                <w:sz w:val="12"/>
                <w:szCs w:val="12"/>
              </w:rPr>
            </w:pPr>
          </w:p>
          <w:p w:rsidR="008D3FD1" w:rsidRPr="00D67A5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  <w:i/>
              </w:rPr>
              <w:t>Goal:</w:t>
            </w:r>
            <w:r w:rsidRPr="00D67A51">
              <w:rPr>
                <w:rFonts w:asciiTheme="majorHAnsi" w:hAnsiTheme="majorHAnsi"/>
              </w:rPr>
              <w:t xml:space="preserve"> Kick off Consolidated</w:t>
            </w:r>
            <w:r>
              <w:rPr>
                <w:rFonts w:asciiTheme="majorHAnsi" w:hAnsiTheme="majorHAnsi"/>
              </w:rPr>
              <w:t xml:space="preserve"> Plan process, solicit input on </w:t>
            </w:r>
            <w:r w:rsidRPr="00D67A51">
              <w:rPr>
                <w:rFonts w:asciiTheme="majorHAnsi" w:hAnsiTheme="majorHAnsi"/>
              </w:rPr>
              <w:t>needs in community, kick off budget process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8D3FD1" w:rsidTr="00A76002">
        <w:trPr>
          <w:trHeight w:val="215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November 1, 2019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FY 2021 Budget Application</w:t>
            </w:r>
            <w:r w:rsidR="001C0C2A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due to ACDS</w:t>
            </w:r>
          </w:p>
          <w:p w:rsidR="008D3FD1" w:rsidRPr="00D5406D" w:rsidRDefault="008D3FD1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3FD1" w:rsidTr="001C0C2A">
        <w:trPr>
          <w:trHeight w:val="1323"/>
        </w:trPr>
        <w:tc>
          <w:tcPr>
            <w:tcW w:w="2430" w:type="dxa"/>
          </w:tcPr>
          <w:p w:rsidR="008D3FD1" w:rsidRDefault="008D3F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December 5, 2019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D3FD1" w:rsidRPr="00A76002" w:rsidRDefault="008D3FD1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8D3FD1" w:rsidRDefault="008D3FD1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>2</w:t>
            </w:r>
            <w:r w:rsidRPr="00D67A51">
              <w:rPr>
                <w:rFonts w:asciiTheme="majorHAnsi" w:hAnsiTheme="majorHAnsi"/>
                <w:vertAlign w:val="superscript"/>
              </w:rPr>
              <w:t>nd</w:t>
            </w:r>
            <w:r w:rsidRPr="00D67A51">
              <w:rPr>
                <w:rFonts w:asciiTheme="majorHAnsi" w:hAnsiTheme="majorHAnsi"/>
              </w:rPr>
              <w:t xml:space="preserve"> Public Hea</w:t>
            </w:r>
            <w:r>
              <w:rPr>
                <w:rFonts w:asciiTheme="majorHAnsi" w:hAnsiTheme="majorHAnsi"/>
              </w:rPr>
              <w:t>ring on Consolidated Plan</w:t>
            </w:r>
          </w:p>
          <w:p w:rsidR="008D3FD1" w:rsidRDefault="0063166E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4:30 p.m. – 6:0</w:t>
            </w:r>
            <w:r w:rsidR="008D3FD1" w:rsidRPr="00D67A51">
              <w:rPr>
                <w:rFonts w:asciiTheme="majorHAnsi" w:hAnsiTheme="majorHAnsi"/>
              </w:rPr>
              <w:t xml:space="preserve">0 p.m. </w:t>
            </w:r>
          </w:p>
          <w:p w:rsidR="004424C4" w:rsidRPr="006B5B4D" w:rsidRDefault="004424C4" w:rsidP="00A76002">
            <w:pPr>
              <w:ind w:left="162"/>
              <w:rPr>
                <w:rFonts w:asciiTheme="majorHAnsi" w:hAnsiTheme="majorHAnsi"/>
                <w:i/>
              </w:rPr>
            </w:pPr>
            <w:r w:rsidRPr="006B5B4D">
              <w:rPr>
                <w:rFonts w:asciiTheme="majorHAnsi" w:hAnsiTheme="majorHAnsi"/>
                <w:i/>
              </w:rPr>
              <w:t>Location: 2664 Riva Road, Suite 170, Annapolis, MD 21401</w:t>
            </w:r>
            <w:r w:rsidR="005824AF" w:rsidRPr="006B5B4D">
              <w:rPr>
                <w:rFonts w:asciiTheme="majorHAnsi" w:hAnsiTheme="majorHAnsi"/>
                <w:i/>
              </w:rPr>
              <w:t xml:space="preserve"> (Independence Conference Room)</w:t>
            </w:r>
          </w:p>
          <w:p w:rsidR="008D3FD1" w:rsidRPr="006B5B4D" w:rsidRDefault="008D3FD1" w:rsidP="001C0C2A">
            <w:pPr>
              <w:rPr>
                <w:rFonts w:asciiTheme="majorHAnsi" w:hAnsiTheme="majorHAnsi"/>
                <w:i/>
              </w:rPr>
            </w:pPr>
          </w:p>
          <w:p w:rsidR="008D3FD1" w:rsidRPr="001C0C2A" w:rsidRDefault="008D3FD1" w:rsidP="001C0C2A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  <w:i/>
              </w:rPr>
              <w:t>Goal: Work with public to articulate goals and strategies for Con Plan and prioritize those goals</w:t>
            </w:r>
          </w:p>
        </w:tc>
      </w:tr>
      <w:tr w:rsidR="001C0C2A" w:rsidTr="00A76002">
        <w:trPr>
          <w:trHeight w:val="575"/>
        </w:trPr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January 23, 2020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Default="001C0C2A" w:rsidP="00A76002">
            <w:pPr>
              <w:ind w:left="162"/>
              <w:rPr>
                <w:rFonts w:asciiTheme="majorHAnsi" w:hAnsiTheme="majorHAnsi"/>
              </w:rPr>
            </w:pPr>
            <w:r w:rsidRPr="00D67A51">
              <w:rPr>
                <w:rFonts w:asciiTheme="majorHAnsi" w:hAnsiTheme="majorHAnsi"/>
              </w:rPr>
              <w:t>3</w:t>
            </w:r>
            <w:r w:rsidRPr="00D67A51">
              <w:rPr>
                <w:rFonts w:asciiTheme="majorHAnsi" w:hAnsiTheme="majorHAnsi"/>
                <w:vertAlign w:val="superscript"/>
              </w:rPr>
              <w:t>rd</w:t>
            </w:r>
            <w:r w:rsidRPr="00D67A51">
              <w:rPr>
                <w:rFonts w:asciiTheme="majorHAnsi" w:hAnsiTheme="majorHAnsi"/>
              </w:rPr>
              <w:t xml:space="preserve"> Public Hearing on Con</w:t>
            </w:r>
            <w:r>
              <w:rPr>
                <w:rFonts w:asciiTheme="majorHAnsi" w:hAnsiTheme="majorHAnsi"/>
              </w:rPr>
              <w:t>solidated</w:t>
            </w:r>
            <w:r w:rsidRPr="00D67A51">
              <w:rPr>
                <w:rFonts w:asciiTheme="majorHAnsi" w:hAnsiTheme="majorHAnsi"/>
              </w:rPr>
              <w:t xml:space="preserve"> Plan</w:t>
            </w:r>
            <w:r>
              <w:rPr>
                <w:rFonts w:asciiTheme="majorHAnsi" w:hAnsiTheme="majorHAnsi"/>
              </w:rPr>
              <w:t xml:space="preserve"> &amp;</w:t>
            </w:r>
            <w:r w:rsidRPr="00D67A51">
              <w:rPr>
                <w:rFonts w:asciiTheme="majorHAnsi" w:hAnsiTheme="majorHAnsi"/>
              </w:rPr>
              <w:t xml:space="preserve"> FY 2021 Budget Process</w:t>
            </w:r>
          </w:p>
          <w:p w:rsidR="001C0C2A" w:rsidRDefault="001C0C2A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6:30 p.m. – 8:30 p.m. </w:t>
            </w:r>
          </w:p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i/>
                <w:sz w:val="12"/>
                <w:szCs w:val="12"/>
              </w:rPr>
            </w:pPr>
          </w:p>
          <w:p w:rsidR="001C0C2A" w:rsidRDefault="001C0C2A" w:rsidP="00A76002">
            <w:pPr>
              <w:ind w:left="162"/>
              <w:rPr>
                <w:rFonts w:asciiTheme="majorHAnsi" w:hAnsiTheme="majorHAnsi"/>
                <w:i/>
              </w:rPr>
            </w:pPr>
            <w:r w:rsidRPr="002C71E7">
              <w:rPr>
                <w:rFonts w:asciiTheme="majorHAnsi" w:hAnsiTheme="majorHAnsi"/>
                <w:i/>
              </w:rPr>
              <w:t>Goal: Solicit feedback from public on final Con Plan goals and strategies, present and solicit feedback on FY 2021 Budget priorities</w:t>
            </w:r>
          </w:p>
          <w:p w:rsidR="001C0C2A" w:rsidRPr="00D5406D" w:rsidRDefault="001C0C2A" w:rsidP="001C0C2A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0C2A" w:rsidTr="001C0C2A">
        <w:trPr>
          <w:trHeight w:val="747"/>
        </w:trPr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Early March 2020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Default="001C0C2A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Draft Consolidated Plan – published </w:t>
            </w:r>
          </w:p>
          <w:p w:rsidR="001C0C2A" w:rsidRDefault="001C0C2A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comment period - 30 days</w:t>
            </w:r>
          </w:p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1C0C2A" w:rsidTr="00A76002">
        <w:trPr>
          <w:trHeight w:val="521"/>
        </w:trPr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Early April County Council Meeting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Default="001C0C2A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Introduced to County Council</w:t>
            </w:r>
          </w:p>
          <w:p w:rsidR="001C0C2A" w:rsidRPr="00D67A51" w:rsidRDefault="001C0C2A" w:rsidP="00A76002">
            <w:pPr>
              <w:ind w:left="16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Public comment period – 30 days </w:t>
            </w:r>
          </w:p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0C2A" w:rsidTr="00A76002"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June 15, 2020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Submit Final FY 2021 – FY 2025 Consolidate Plan/FY 2021 Budget to HUD</w:t>
            </w:r>
          </w:p>
        </w:tc>
      </w:tr>
      <w:tr w:rsidR="001C0C2A" w:rsidTr="00A76002"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0C2A" w:rsidTr="00A76002"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0C2A" w:rsidTr="00A76002"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1C0C2A" w:rsidRPr="00D5406D" w:rsidRDefault="001C0C2A" w:rsidP="00A76002">
            <w:pPr>
              <w:ind w:left="16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0C2A" w:rsidTr="001C0C2A">
        <w:trPr>
          <w:trHeight w:val="80"/>
        </w:trPr>
        <w:tc>
          <w:tcPr>
            <w:tcW w:w="2430" w:type="dxa"/>
          </w:tcPr>
          <w:p w:rsidR="001C0C2A" w:rsidRDefault="001C0C2A">
            <w:pPr>
              <w:rPr>
                <w:rFonts w:asciiTheme="majorHAnsi" w:hAnsiTheme="majorHAnsi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1C0C2A" w:rsidRPr="00A76002" w:rsidRDefault="001C0C2A" w:rsidP="00D67A5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:rsidR="00E115D2" w:rsidRDefault="00E115D2" w:rsidP="00A76002">
            <w:pPr>
              <w:ind w:left="162"/>
              <w:rPr>
                <w:rFonts w:asciiTheme="majorHAnsi" w:hAnsiTheme="majorHAnsi"/>
              </w:rPr>
            </w:pPr>
          </w:p>
        </w:tc>
      </w:tr>
    </w:tbl>
    <w:p w:rsidR="00E115D2" w:rsidRDefault="00E115D2" w:rsidP="00306CAC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:rsidR="006B5B4D" w:rsidRPr="006B5B4D" w:rsidRDefault="005824AF" w:rsidP="005824AF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The</w:t>
      </w:r>
      <w:r w:rsidR="00E115D2" w:rsidRPr="004424C4">
        <w:rPr>
          <w:rFonts w:ascii="Cambria" w:hAnsi="Cambria"/>
          <w:sz w:val="20"/>
          <w:szCs w:val="20"/>
        </w:rPr>
        <w:t xml:space="preserve"> public meetings</w:t>
      </w:r>
      <w:r>
        <w:rPr>
          <w:rFonts w:ascii="Cambria" w:hAnsi="Cambria"/>
          <w:sz w:val="20"/>
          <w:szCs w:val="20"/>
        </w:rPr>
        <w:t>, unless otherwise noted,</w:t>
      </w:r>
      <w:r w:rsidR="00E115D2" w:rsidRPr="004424C4">
        <w:rPr>
          <w:rFonts w:ascii="Cambria" w:hAnsi="Cambria"/>
          <w:sz w:val="20"/>
          <w:szCs w:val="20"/>
        </w:rPr>
        <w:t xml:space="preserve"> will be held at the offices of Arundel Community Development Services, Inc. at 2666 Riva Road</w:t>
      </w:r>
      <w:r w:rsidR="004424C4" w:rsidRPr="004424C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Suite 210, Annapolis, MD 21401.</w:t>
      </w:r>
      <w:r w:rsidR="00E115D2" w:rsidRPr="004424C4">
        <w:rPr>
          <w:rFonts w:ascii="Cambria" w:hAnsi="Cambria"/>
          <w:sz w:val="20"/>
          <w:szCs w:val="20"/>
        </w:rPr>
        <w:t xml:space="preserve">  </w:t>
      </w:r>
      <w:r w:rsidRPr="006B5B4D">
        <w:rPr>
          <w:rFonts w:ascii="Cambria" w:hAnsi="Cambria"/>
          <w:sz w:val="20"/>
          <w:szCs w:val="20"/>
        </w:rPr>
        <w:t xml:space="preserve">The December 5, 2019 Public Hearing will be held at the Independence Conference Room, 2664 Riva Road, Suite 170, Annapolis, MD 21401.  </w:t>
      </w:r>
    </w:p>
    <w:p w:rsidR="006B5B4D" w:rsidRPr="006B5B4D" w:rsidRDefault="006B5B4D" w:rsidP="005824AF">
      <w:pPr>
        <w:spacing w:after="0" w:line="240" w:lineRule="auto"/>
        <w:rPr>
          <w:rFonts w:ascii="Cambria" w:hAnsi="Cambria"/>
          <w:sz w:val="20"/>
          <w:szCs w:val="20"/>
        </w:rPr>
      </w:pPr>
    </w:p>
    <w:p w:rsidR="005824AF" w:rsidRPr="006B5B4D" w:rsidRDefault="006B5B4D" w:rsidP="005824AF">
      <w:pPr>
        <w:spacing w:after="0" w:line="240" w:lineRule="auto"/>
        <w:rPr>
          <w:rFonts w:ascii="Cambria" w:hAnsi="Cambria"/>
          <w:sz w:val="20"/>
          <w:szCs w:val="20"/>
        </w:rPr>
      </w:pPr>
      <w:r w:rsidRPr="006B5B4D">
        <w:rPr>
          <w:rFonts w:ascii="Cambria" w:hAnsi="Cambria"/>
          <w:sz w:val="20"/>
          <w:szCs w:val="20"/>
        </w:rPr>
        <w:t xml:space="preserve">ACDS and our public meeting sites are </w:t>
      </w:r>
      <w:r w:rsidR="005824AF" w:rsidRPr="006B5B4D">
        <w:rPr>
          <w:rFonts w:ascii="Cambria" w:hAnsi="Cambria"/>
          <w:sz w:val="20"/>
          <w:szCs w:val="20"/>
        </w:rPr>
        <w:t xml:space="preserve">ADA accessible.  If you wish to attend and require a </w:t>
      </w:r>
      <w:r w:rsidR="005824AF" w:rsidRPr="006B5B4D">
        <w:rPr>
          <w:rFonts w:ascii="Cambria" w:hAnsi="Cambria"/>
          <w:b/>
          <w:sz w:val="20"/>
          <w:szCs w:val="20"/>
        </w:rPr>
        <w:t>special accommodation</w:t>
      </w:r>
      <w:r w:rsidR="005824AF" w:rsidRPr="006B5B4D">
        <w:rPr>
          <w:rFonts w:ascii="Cambria" w:hAnsi="Cambria"/>
          <w:sz w:val="20"/>
          <w:szCs w:val="20"/>
        </w:rPr>
        <w:t xml:space="preserve"> (e.g. interpreter for deaf and hard of hearing or an interpreter for persons with limited English proficiency) please contact </w:t>
      </w:r>
      <w:hyperlink r:id="rId5" w:history="1">
        <w:r w:rsidR="005824AF" w:rsidRPr="006B5B4D">
          <w:rPr>
            <w:rStyle w:val="Hyperlink"/>
            <w:rFonts w:ascii="Cambria" w:hAnsi="Cambria"/>
            <w:color w:val="auto"/>
            <w:sz w:val="20"/>
            <w:szCs w:val="20"/>
          </w:rPr>
          <w:t>kashby@acdsinc.org</w:t>
        </w:r>
      </w:hyperlink>
      <w:r w:rsidR="005824AF" w:rsidRPr="006B5B4D">
        <w:rPr>
          <w:rFonts w:ascii="Cambria" w:hAnsi="Cambria"/>
          <w:sz w:val="20"/>
          <w:szCs w:val="20"/>
        </w:rPr>
        <w:t xml:space="preserve"> or 410-222-7805 no later than </w:t>
      </w:r>
      <w:r w:rsidR="005824AF" w:rsidRPr="006B5B4D">
        <w:rPr>
          <w:rFonts w:ascii="Cambria" w:hAnsi="Cambria"/>
          <w:b/>
          <w:sz w:val="20"/>
          <w:szCs w:val="20"/>
        </w:rPr>
        <w:t>7 business days prior</w:t>
      </w:r>
      <w:r w:rsidR="005824AF" w:rsidRPr="006B5B4D">
        <w:rPr>
          <w:rFonts w:ascii="Cambria" w:hAnsi="Cambria"/>
          <w:sz w:val="20"/>
          <w:szCs w:val="20"/>
        </w:rPr>
        <w:t xml:space="preserve"> to the public meeting.  </w:t>
      </w:r>
    </w:p>
    <w:p w:rsidR="005824AF" w:rsidRPr="006B5B4D" w:rsidRDefault="005824AF" w:rsidP="00306CAC">
      <w:pPr>
        <w:spacing w:after="0" w:line="240" w:lineRule="auto"/>
        <w:rPr>
          <w:rFonts w:ascii="Cambria" w:hAnsi="Cambria"/>
          <w:sz w:val="20"/>
          <w:szCs w:val="20"/>
        </w:rPr>
      </w:pPr>
    </w:p>
    <w:p w:rsidR="00E115D2" w:rsidRDefault="00E115D2" w:rsidP="00306CAC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:rsidR="00161BA6" w:rsidRPr="00D67A51" w:rsidRDefault="00161BA6" w:rsidP="00306CAC">
      <w:pPr>
        <w:spacing w:after="0" w:line="240" w:lineRule="auto"/>
        <w:rPr>
          <w:rFonts w:asciiTheme="majorHAnsi" w:hAnsiTheme="majorHAnsi"/>
          <w:noProof/>
          <w:sz w:val="14"/>
          <w:szCs w:val="14"/>
        </w:rPr>
      </w:pPr>
      <w:r w:rsidRPr="00D67A51">
        <w:rPr>
          <w:rFonts w:asciiTheme="majorHAnsi" w:hAnsiTheme="majorHAnsi"/>
          <w:sz w:val="14"/>
          <w:szCs w:val="14"/>
        </w:rPr>
        <w:fldChar w:fldCharType="begin"/>
      </w:r>
      <w:r w:rsidRPr="00D67A51">
        <w:rPr>
          <w:rFonts w:asciiTheme="majorHAnsi" w:hAnsiTheme="majorHAnsi"/>
          <w:sz w:val="14"/>
          <w:szCs w:val="14"/>
        </w:rPr>
        <w:instrText xml:space="preserve"> FILENAME  \p  \* MERGEFORMAT </w:instrText>
      </w:r>
      <w:r w:rsidRPr="00D67A51">
        <w:rPr>
          <w:rFonts w:asciiTheme="majorHAnsi" w:hAnsiTheme="majorHAnsi"/>
          <w:sz w:val="14"/>
          <w:szCs w:val="14"/>
        </w:rPr>
        <w:fldChar w:fldCharType="separate"/>
      </w:r>
      <w:r w:rsidR="0098340F">
        <w:rPr>
          <w:rFonts w:asciiTheme="majorHAnsi" w:hAnsiTheme="majorHAnsi"/>
          <w:noProof/>
          <w:sz w:val="14"/>
          <w:szCs w:val="14"/>
        </w:rPr>
        <w:t>K:\Planning Documents\Consolidated Plan Development\2021-2025 Consolidated Plan\Timelines\AA County Consolidated Plan Schedule- 2021-2025.Revised.docx</w:t>
      </w:r>
      <w:r w:rsidRPr="00D67A51">
        <w:rPr>
          <w:rFonts w:asciiTheme="majorHAnsi" w:hAnsiTheme="majorHAnsi"/>
          <w:sz w:val="14"/>
          <w:szCs w:val="14"/>
        </w:rPr>
        <w:fldChar w:fldCharType="end"/>
      </w:r>
      <w:bookmarkStart w:id="0" w:name="_GoBack"/>
      <w:bookmarkEnd w:id="0"/>
    </w:p>
    <w:sectPr w:rsidR="00161BA6" w:rsidRPr="00D67A51" w:rsidSect="003B3ED0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ienda One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5EE9"/>
    <w:multiLevelType w:val="hybridMultilevel"/>
    <w:tmpl w:val="0C2EB770"/>
    <w:lvl w:ilvl="0" w:tplc="484E2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6995"/>
    <w:multiLevelType w:val="hybridMultilevel"/>
    <w:tmpl w:val="9D8EB9F0"/>
    <w:lvl w:ilvl="0" w:tplc="9E48A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F4"/>
    <w:rsid w:val="00002954"/>
    <w:rsid w:val="0000367B"/>
    <w:rsid w:val="00025F6E"/>
    <w:rsid w:val="00031836"/>
    <w:rsid w:val="000405F3"/>
    <w:rsid w:val="00075B67"/>
    <w:rsid w:val="00077FE5"/>
    <w:rsid w:val="00091409"/>
    <w:rsid w:val="000F390D"/>
    <w:rsid w:val="001023D8"/>
    <w:rsid w:val="0010494F"/>
    <w:rsid w:val="00114AA7"/>
    <w:rsid w:val="00130B25"/>
    <w:rsid w:val="0014169E"/>
    <w:rsid w:val="00146488"/>
    <w:rsid w:val="00150EB8"/>
    <w:rsid w:val="00161BA6"/>
    <w:rsid w:val="001C0C2A"/>
    <w:rsid w:val="001C2132"/>
    <w:rsid w:val="001C30A6"/>
    <w:rsid w:val="001C46A9"/>
    <w:rsid w:val="00212311"/>
    <w:rsid w:val="00241143"/>
    <w:rsid w:val="00243251"/>
    <w:rsid w:val="00256198"/>
    <w:rsid w:val="00274E81"/>
    <w:rsid w:val="00291D8B"/>
    <w:rsid w:val="002C6439"/>
    <w:rsid w:val="002C71E7"/>
    <w:rsid w:val="002D75F4"/>
    <w:rsid w:val="002E0BBC"/>
    <w:rsid w:val="00306CAC"/>
    <w:rsid w:val="00310FC0"/>
    <w:rsid w:val="00331156"/>
    <w:rsid w:val="00337E8B"/>
    <w:rsid w:val="00370E4E"/>
    <w:rsid w:val="003B3ED0"/>
    <w:rsid w:val="003D59A5"/>
    <w:rsid w:val="003E3326"/>
    <w:rsid w:val="003F167E"/>
    <w:rsid w:val="00401441"/>
    <w:rsid w:val="00420313"/>
    <w:rsid w:val="00420C05"/>
    <w:rsid w:val="0043207E"/>
    <w:rsid w:val="004424C4"/>
    <w:rsid w:val="00443A22"/>
    <w:rsid w:val="00466C81"/>
    <w:rsid w:val="0048068F"/>
    <w:rsid w:val="004B532C"/>
    <w:rsid w:val="004F4CA8"/>
    <w:rsid w:val="00531467"/>
    <w:rsid w:val="00535B32"/>
    <w:rsid w:val="005824AF"/>
    <w:rsid w:val="005933E3"/>
    <w:rsid w:val="005B5C93"/>
    <w:rsid w:val="005C2DB0"/>
    <w:rsid w:val="005C5061"/>
    <w:rsid w:val="005E1C77"/>
    <w:rsid w:val="005E1E57"/>
    <w:rsid w:val="0061287F"/>
    <w:rsid w:val="0062718B"/>
    <w:rsid w:val="0063166E"/>
    <w:rsid w:val="006574F6"/>
    <w:rsid w:val="00677E14"/>
    <w:rsid w:val="006A0919"/>
    <w:rsid w:val="006B5630"/>
    <w:rsid w:val="006B5B4D"/>
    <w:rsid w:val="006D7AA2"/>
    <w:rsid w:val="006E29D1"/>
    <w:rsid w:val="006E713D"/>
    <w:rsid w:val="006F3163"/>
    <w:rsid w:val="00702979"/>
    <w:rsid w:val="00760E49"/>
    <w:rsid w:val="0076372B"/>
    <w:rsid w:val="007A406B"/>
    <w:rsid w:val="007B796E"/>
    <w:rsid w:val="00801A88"/>
    <w:rsid w:val="00805BCC"/>
    <w:rsid w:val="00823DD4"/>
    <w:rsid w:val="00825E87"/>
    <w:rsid w:val="00854FAF"/>
    <w:rsid w:val="008A1874"/>
    <w:rsid w:val="008C1AE4"/>
    <w:rsid w:val="008D3FD1"/>
    <w:rsid w:val="008E2BE0"/>
    <w:rsid w:val="008E7458"/>
    <w:rsid w:val="00910226"/>
    <w:rsid w:val="0091022B"/>
    <w:rsid w:val="00930DB9"/>
    <w:rsid w:val="00940751"/>
    <w:rsid w:val="00982B6B"/>
    <w:rsid w:val="0098340F"/>
    <w:rsid w:val="00990E85"/>
    <w:rsid w:val="00997CA1"/>
    <w:rsid w:val="009A0947"/>
    <w:rsid w:val="009C1FC6"/>
    <w:rsid w:val="009F4B66"/>
    <w:rsid w:val="00A3097A"/>
    <w:rsid w:val="00A76002"/>
    <w:rsid w:val="00A80C5C"/>
    <w:rsid w:val="00A93E93"/>
    <w:rsid w:val="00AC3C69"/>
    <w:rsid w:val="00AC7C66"/>
    <w:rsid w:val="00AD52B1"/>
    <w:rsid w:val="00B162AE"/>
    <w:rsid w:val="00B21C49"/>
    <w:rsid w:val="00B22AE3"/>
    <w:rsid w:val="00B23A1A"/>
    <w:rsid w:val="00B27EAE"/>
    <w:rsid w:val="00B80F55"/>
    <w:rsid w:val="00C064D7"/>
    <w:rsid w:val="00C16909"/>
    <w:rsid w:val="00C508FC"/>
    <w:rsid w:val="00C51580"/>
    <w:rsid w:val="00C56C3F"/>
    <w:rsid w:val="00C6377D"/>
    <w:rsid w:val="00C708BB"/>
    <w:rsid w:val="00C808DE"/>
    <w:rsid w:val="00C82F39"/>
    <w:rsid w:val="00C86B6D"/>
    <w:rsid w:val="00CA7B1E"/>
    <w:rsid w:val="00CB505E"/>
    <w:rsid w:val="00CD3FB1"/>
    <w:rsid w:val="00CD572C"/>
    <w:rsid w:val="00CF5D45"/>
    <w:rsid w:val="00D16CB0"/>
    <w:rsid w:val="00D221FE"/>
    <w:rsid w:val="00D4304E"/>
    <w:rsid w:val="00D46650"/>
    <w:rsid w:val="00D51BF4"/>
    <w:rsid w:val="00D5406D"/>
    <w:rsid w:val="00D5550E"/>
    <w:rsid w:val="00D67A51"/>
    <w:rsid w:val="00D8078A"/>
    <w:rsid w:val="00D87F90"/>
    <w:rsid w:val="00DB7FEB"/>
    <w:rsid w:val="00DC4006"/>
    <w:rsid w:val="00DC656B"/>
    <w:rsid w:val="00E115D2"/>
    <w:rsid w:val="00E31162"/>
    <w:rsid w:val="00E34D28"/>
    <w:rsid w:val="00E412FB"/>
    <w:rsid w:val="00E45E63"/>
    <w:rsid w:val="00E46F1F"/>
    <w:rsid w:val="00E51807"/>
    <w:rsid w:val="00E70E7C"/>
    <w:rsid w:val="00E71DFD"/>
    <w:rsid w:val="00E971E7"/>
    <w:rsid w:val="00EB77B2"/>
    <w:rsid w:val="00F01030"/>
    <w:rsid w:val="00F249C1"/>
    <w:rsid w:val="00F303E2"/>
    <w:rsid w:val="00F46D48"/>
    <w:rsid w:val="00F5790F"/>
    <w:rsid w:val="00F72EFA"/>
    <w:rsid w:val="00F97A1E"/>
    <w:rsid w:val="00FC2AE0"/>
    <w:rsid w:val="00FF07D7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C7098-FB8D-4FC4-941B-7E5EA26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1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hby@acdsin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Karpewicz</dc:creator>
  <cp:lastModifiedBy>Erin Shearman Karpewicz</cp:lastModifiedBy>
  <cp:revision>5</cp:revision>
  <cp:lastPrinted>2019-10-30T13:33:00Z</cp:lastPrinted>
  <dcterms:created xsi:type="dcterms:W3CDTF">2019-10-30T13:32:00Z</dcterms:created>
  <dcterms:modified xsi:type="dcterms:W3CDTF">2019-10-30T20:45:00Z</dcterms:modified>
</cp:coreProperties>
</file>